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0FF1D17" w14:textId="77777777" w:rsidR="000205CE" w:rsidRDefault="000205CE" w:rsidP="006C3F59">
      <w:pPr>
        <w:spacing w:line="240" w:lineRule="auto"/>
        <w:ind w:firstLine="2160"/>
        <w:contextualSpacing/>
        <w:rPr>
          <w:b/>
          <w:sz w:val="44"/>
          <w:szCs w:val="44"/>
        </w:rPr>
      </w:pPr>
      <w:bookmarkStart w:id="0" w:name="_GoBack"/>
      <w:bookmarkEnd w:id="0"/>
      <w:r>
        <w:rPr>
          <w:noProof/>
        </w:rPr>
        <w:drawing>
          <wp:inline distT="0" distB="0" distL="0" distR="0" wp14:anchorId="459FE1C2" wp14:editId="21A49E27">
            <wp:extent cx="3152633" cy="1410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9693" cy="1476104"/>
                    </a:xfrm>
                    <a:prstGeom prst="rect">
                      <a:avLst/>
                    </a:prstGeom>
                  </pic:spPr>
                </pic:pic>
              </a:graphicData>
            </a:graphic>
          </wp:inline>
        </w:drawing>
      </w:r>
    </w:p>
    <w:p w14:paraId="160BE54F" w14:textId="77777777" w:rsidR="00A9111E" w:rsidRPr="000205CE" w:rsidRDefault="00C51933" w:rsidP="00EB2C08">
      <w:pPr>
        <w:spacing w:line="240" w:lineRule="auto"/>
        <w:contextualSpacing/>
        <w:rPr>
          <w:b/>
          <w:color w:val="1F3864" w:themeColor="accent1" w:themeShade="80"/>
          <w:sz w:val="44"/>
          <w:szCs w:val="44"/>
        </w:rPr>
      </w:pPr>
      <w:r w:rsidRPr="000205CE">
        <w:rPr>
          <w:b/>
          <w:color w:val="1F3864" w:themeColor="accent1" w:themeShade="80"/>
          <w:sz w:val="44"/>
          <w:szCs w:val="44"/>
        </w:rPr>
        <w:t>“North Carolina Concealed Carry Handgun Course”</w:t>
      </w:r>
    </w:p>
    <w:p w14:paraId="6168B507" w14:textId="77777777" w:rsidR="00EB2C08" w:rsidRPr="00C51933" w:rsidRDefault="00EB2C08" w:rsidP="00EB2C08">
      <w:pPr>
        <w:spacing w:line="240" w:lineRule="auto"/>
        <w:contextualSpacing/>
        <w:rPr>
          <w:b/>
          <w:sz w:val="44"/>
          <w:szCs w:val="44"/>
        </w:rPr>
      </w:pPr>
    </w:p>
    <w:p w14:paraId="08F5C9A1" w14:textId="77777777" w:rsidR="00C51933" w:rsidRDefault="00C51933" w:rsidP="00EB2C08">
      <w:pPr>
        <w:spacing w:line="240" w:lineRule="auto"/>
        <w:contextualSpacing/>
        <w:jc w:val="both"/>
      </w:pPr>
      <w:r w:rsidRPr="007D3682">
        <w:rPr>
          <w:b/>
          <w:u w:val="single"/>
        </w:rPr>
        <w:t>Course Overview:</w:t>
      </w:r>
      <w:r>
        <w:t xml:space="preserve"> This course will provide the student with a working knowledge of the North Carolina laws as they pertain to the Use of Deadly Force. This course also teaches the skills necessary to protect yourself and family members when faced with a violent encounter. The student will be taught the fundamentals of gun operations, gun safety, ammunition familiarization and shooting techniques. Proficiency with the weapon of your choice from the 3, 5, 7-yard lines are expected. This course is taught at Robeson Community College’s state of the art firearms facility, which utilizes a real time situational awareness moving target system, classroom and clean restrooms. For safety and instructional purposes, an instructor to student ratio will be met so as to allow more one on one personalized instruction. </w:t>
      </w:r>
    </w:p>
    <w:p w14:paraId="5844D12C" w14:textId="77777777" w:rsidR="00C51933" w:rsidRDefault="00C51933" w:rsidP="00EB2C08">
      <w:pPr>
        <w:spacing w:line="240" w:lineRule="auto"/>
        <w:contextualSpacing/>
      </w:pPr>
    </w:p>
    <w:p w14:paraId="63195ADA" w14:textId="77777777" w:rsidR="00C51933" w:rsidRDefault="00C51933" w:rsidP="007D3682">
      <w:pPr>
        <w:spacing w:line="240" w:lineRule="auto"/>
        <w:ind w:left="-450" w:firstLine="450"/>
        <w:contextualSpacing/>
        <w:jc w:val="both"/>
      </w:pPr>
      <w:r w:rsidRPr="00C51933">
        <w:rPr>
          <w:b/>
          <w:u w:val="single"/>
        </w:rPr>
        <w:t>Instructor:</w:t>
      </w:r>
      <w:r>
        <w:t xml:space="preserve"> </w:t>
      </w:r>
      <w:r w:rsidR="00EB2C08">
        <w:t xml:space="preserve">                   </w:t>
      </w:r>
      <w:r>
        <w:t xml:space="preserve">Deputy Chief Tommy Barnes, Lumberton Police Department </w:t>
      </w:r>
    </w:p>
    <w:p w14:paraId="5EBF3D2D" w14:textId="77777777" w:rsidR="00C51933" w:rsidRDefault="00C51933" w:rsidP="00EB2C08">
      <w:pPr>
        <w:spacing w:line="240" w:lineRule="auto"/>
        <w:contextualSpacing/>
        <w:jc w:val="both"/>
      </w:pPr>
    </w:p>
    <w:p w14:paraId="699ADB56" w14:textId="77777777" w:rsidR="00C51933" w:rsidRDefault="00C51933" w:rsidP="00EB2C08">
      <w:pPr>
        <w:spacing w:line="240" w:lineRule="auto"/>
        <w:contextualSpacing/>
        <w:jc w:val="both"/>
      </w:pPr>
      <w:r w:rsidRPr="00C51933">
        <w:rPr>
          <w:b/>
          <w:u w:val="single"/>
        </w:rPr>
        <w:t>Target Audience:</w:t>
      </w:r>
      <w:r>
        <w:t xml:space="preserve"> </w:t>
      </w:r>
      <w:r w:rsidR="00EB2C08">
        <w:t xml:space="preserve">        </w:t>
      </w:r>
      <w:r>
        <w:t>Must be 21 years old and have a state approved photo ID or Military ID.</w:t>
      </w:r>
    </w:p>
    <w:p w14:paraId="74DD52F9" w14:textId="77777777" w:rsidR="00C51933" w:rsidRDefault="00C51933" w:rsidP="00EB2C08">
      <w:pPr>
        <w:spacing w:line="240" w:lineRule="auto"/>
        <w:contextualSpacing/>
        <w:jc w:val="both"/>
      </w:pPr>
    </w:p>
    <w:p w14:paraId="69C50767" w14:textId="77777777" w:rsidR="000205CE" w:rsidRDefault="00C51933" w:rsidP="000205CE">
      <w:pPr>
        <w:tabs>
          <w:tab w:val="left" w:pos="2340"/>
        </w:tabs>
        <w:spacing w:line="240" w:lineRule="auto"/>
        <w:contextualSpacing/>
        <w:jc w:val="both"/>
      </w:pPr>
      <w:r w:rsidRPr="00C51933">
        <w:rPr>
          <w:b/>
          <w:u w:val="single"/>
        </w:rPr>
        <w:t>Course Dates:</w:t>
      </w:r>
      <w:r>
        <w:t xml:space="preserve">              This course will be offered on the following Saturdays:</w:t>
      </w:r>
    </w:p>
    <w:p w14:paraId="46B9D874" w14:textId="77777777" w:rsidR="000205CE" w:rsidRDefault="000205CE" w:rsidP="000205CE">
      <w:pPr>
        <w:tabs>
          <w:tab w:val="left" w:pos="2340"/>
        </w:tabs>
        <w:spacing w:line="240" w:lineRule="auto"/>
        <w:contextualSpacing/>
        <w:jc w:val="both"/>
      </w:pPr>
    </w:p>
    <w:tbl>
      <w:tblPr>
        <w:tblStyle w:val="TableGridLight"/>
        <w:tblW w:w="9360" w:type="dxa"/>
        <w:tblInd w:w="-5" w:type="dxa"/>
        <w:tblLook w:val="04A0" w:firstRow="1" w:lastRow="0" w:firstColumn="1" w:lastColumn="0" w:noHBand="0" w:noVBand="1"/>
      </w:tblPr>
      <w:tblGrid>
        <w:gridCol w:w="3256"/>
        <w:gridCol w:w="2544"/>
        <w:gridCol w:w="3560"/>
      </w:tblGrid>
      <w:tr w:rsidR="000205CE" w14:paraId="6EE0433E" w14:textId="77777777" w:rsidTr="007D3682">
        <w:tc>
          <w:tcPr>
            <w:tcW w:w="3256" w:type="dxa"/>
          </w:tcPr>
          <w:p w14:paraId="62B1B268" w14:textId="77777777" w:rsidR="000205CE" w:rsidRDefault="000205CE" w:rsidP="007D3682">
            <w:pPr>
              <w:tabs>
                <w:tab w:val="left" w:pos="2340"/>
              </w:tabs>
              <w:ind w:firstLine="690"/>
              <w:contextualSpacing/>
              <w:jc w:val="both"/>
            </w:pPr>
            <w:r>
              <w:t>January 30</w:t>
            </w:r>
            <w:r w:rsidRPr="000205CE">
              <w:rPr>
                <w:vertAlign w:val="superscript"/>
              </w:rPr>
              <w:t>th</w:t>
            </w:r>
          </w:p>
        </w:tc>
        <w:tc>
          <w:tcPr>
            <w:tcW w:w="2544" w:type="dxa"/>
          </w:tcPr>
          <w:p w14:paraId="56161892" w14:textId="77777777" w:rsidR="000205CE" w:rsidRDefault="000205CE" w:rsidP="007D3682">
            <w:pPr>
              <w:tabs>
                <w:tab w:val="left" w:pos="2340"/>
              </w:tabs>
              <w:ind w:firstLine="690"/>
              <w:contextualSpacing/>
              <w:jc w:val="both"/>
            </w:pPr>
            <w:r>
              <w:t>May 22</w:t>
            </w:r>
            <w:r w:rsidRPr="000205CE">
              <w:rPr>
                <w:vertAlign w:val="superscript"/>
              </w:rPr>
              <w:t>nd</w:t>
            </w:r>
          </w:p>
        </w:tc>
        <w:tc>
          <w:tcPr>
            <w:tcW w:w="3560" w:type="dxa"/>
          </w:tcPr>
          <w:p w14:paraId="28B97C3F" w14:textId="77777777" w:rsidR="000205CE" w:rsidRDefault="000205CE" w:rsidP="007D3682">
            <w:pPr>
              <w:tabs>
                <w:tab w:val="left" w:pos="2340"/>
              </w:tabs>
              <w:ind w:firstLine="690"/>
              <w:contextualSpacing/>
              <w:jc w:val="both"/>
            </w:pPr>
            <w:r>
              <w:t>September 25</w:t>
            </w:r>
            <w:r w:rsidRPr="000205CE">
              <w:rPr>
                <w:vertAlign w:val="superscript"/>
              </w:rPr>
              <w:t>th</w:t>
            </w:r>
          </w:p>
        </w:tc>
      </w:tr>
      <w:tr w:rsidR="000205CE" w14:paraId="2DD20A65" w14:textId="77777777" w:rsidTr="007D3682">
        <w:tc>
          <w:tcPr>
            <w:tcW w:w="3256" w:type="dxa"/>
          </w:tcPr>
          <w:p w14:paraId="2C8090DE" w14:textId="77777777" w:rsidR="000205CE" w:rsidRDefault="000205CE" w:rsidP="007D3682">
            <w:pPr>
              <w:tabs>
                <w:tab w:val="left" w:pos="2340"/>
              </w:tabs>
              <w:ind w:firstLine="690"/>
              <w:contextualSpacing/>
              <w:jc w:val="both"/>
            </w:pPr>
            <w:r>
              <w:t>February 27</w:t>
            </w:r>
            <w:r w:rsidRPr="000205CE">
              <w:rPr>
                <w:vertAlign w:val="superscript"/>
              </w:rPr>
              <w:t>th</w:t>
            </w:r>
          </w:p>
        </w:tc>
        <w:tc>
          <w:tcPr>
            <w:tcW w:w="2544" w:type="dxa"/>
          </w:tcPr>
          <w:p w14:paraId="5B426B7D" w14:textId="77777777" w:rsidR="000205CE" w:rsidRDefault="000205CE" w:rsidP="007D3682">
            <w:pPr>
              <w:tabs>
                <w:tab w:val="left" w:pos="2340"/>
              </w:tabs>
              <w:ind w:firstLine="690"/>
              <w:contextualSpacing/>
              <w:jc w:val="both"/>
            </w:pPr>
            <w:r>
              <w:t>June 26</w:t>
            </w:r>
            <w:r w:rsidRPr="000205CE">
              <w:rPr>
                <w:vertAlign w:val="superscript"/>
              </w:rPr>
              <w:t>th</w:t>
            </w:r>
          </w:p>
        </w:tc>
        <w:tc>
          <w:tcPr>
            <w:tcW w:w="3560" w:type="dxa"/>
          </w:tcPr>
          <w:p w14:paraId="1E228842" w14:textId="77777777" w:rsidR="000205CE" w:rsidRDefault="000205CE" w:rsidP="007D3682">
            <w:pPr>
              <w:tabs>
                <w:tab w:val="left" w:pos="2340"/>
              </w:tabs>
              <w:ind w:firstLine="690"/>
              <w:contextualSpacing/>
              <w:jc w:val="both"/>
            </w:pPr>
            <w:r>
              <w:t>October 23</w:t>
            </w:r>
            <w:r w:rsidRPr="000205CE">
              <w:rPr>
                <w:vertAlign w:val="superscript"/>
              </w:rPr>
              <w:t>rd</w:t>
            </w:r>
          </w:p>
        </w:tc>
      </w:tr>
      <w:tr w:rsidR="000205CE" w14:paraId="56CB3C25" w14:textId="77777777" w:rsidTr="007D3682">
        <w:tc>
          <w:tcPr>
            <w:tcW w:w="3256" w:type="dxa"/>
          </w:tcPr>
          <w:p w14:paraId="6DE583EE" w14:textId="77777777" w:rsidR="000205CE" w:rsidRDefault="000205CE" w:rsidP="007D3682">
            <w:pPr>
              <w:tabs>
                <w:tab w:val="left" w:pos="2340"/>
              </w:tabs>
              <w:ind w:firstLine="690"/>
              <w:contextualSpacing/>
              <w:jc w:val="both"/>
            </w:pPr>
            <w:r>
              <w:t>March 27</w:t>
            </w:r>
            <w:r w:rsidRPr="000205CE">
              <w:rPr>
                <w:vertAlign w:val="superscript"/>
              </w:rPr>
              <w:t>th</w:t>
            </w:r>
          </w:p>
        </w:tc>
        <w:tc>
          <w:tcPr>
            <w:tcW w:w="2544" w:type="dxa"/>
          </w:tcPr>
          <w:p w14:paraId="190326FE" w14:textId="77777777" w:rsidR="000205CE" w:rsidRDefault="000205CE" w:rsidP="007D3682">
            <w:pPr>
              <w:tabs>
                <w:tab w:val="left" w:pos="2340"/>
              </w:tabs>
              <w:ind w:firstLine="690"/>
              <w:contextualSpacing/>
              <w:jc w:val="both"/>
            </w:pPr>
            <w:r>
              <w:t>July 31</w:t>
            </w:r>
            <w:r w:rsidRPr="000205CE">
              <w:rPr>
                <w:vertAlign w:val="superscript"/>
              </w:rPr>
              <w:t>st</w:t>
            </w:r>
          </w:p>
        </w:tc>
        <w:tc>
          <w:tcPr>
            <w:tcW w:w="3560" w:type="dxa"/>
          </w:tcPr>
          <w:p w14:paraId="28FB968C" w14:textId="77777777" w:rsidR="000205CE" w:rsidRDefault="000205CE" w:rsidP="007D3682">
            <w:pPr>
              <w:tabs>
                <w:tab w:val="left" w:pos="2340"/>
              </w:tabs>
              <w:ind w:firstLine="690"/>
              <w:contextualSpacing/>
              <w:jc w:val="both"/>
            </w:pPr>
            <w:r>
              <w:t>November 20</w:t>
            </w:r>
            <w:r w:rsidRPr="000205CE">
              <w:rPr>
                <w:vertAlign w:val="superscript"/>
              </w:rPr>
              <w:t>th</w:t>
            </w:r>
          </w:p>
        </w:tc>
      </w:tr>
      <w:tr w:rsidR="000205CE" w14:paraId="775B9DC4" w14:textId="77777777" w:rsidTr="007D3682">
        <w:tc>
          <w:tcPr>
            <w:tcW w:w="3256" w:type="dxa"/>
          </w:tcPr>
          <w:p w14:paraId="4DCF35A0" w14:textId="77777777" w:rsidR="000205CE" w:rsidRDefault="000205CE" w:rsidP="007D3682">
            <w:pPr>
              <w:tabs>
                <w:tab w:val="left" w:pos="2340"/>
              </w:tabs>
              <w:ind w:firstLine="690"/>
              <w:contextualSpacing/>
              <w:jc w:val="both"/>
            </w:pPr>
            <w:r>
              <w:t>April 24</w:t>
            </w:r>
            <w:r w:rsidRPr="000205CE">
              <w:rPr>
                <w:vertAlign w:val="superscript"/>
              </w:rPr>
              <w:t>th</w:t>
            </w:r>
          </w:p>
        </w:tc>
        <w:tc>
          <w:tcPr>
            <w:tcW w:w="2544" w:type="dxa"/>
          </w:tcPr>
          <w:p w14:paraId="21492154" w14:textId="77777777" w:rsidR="000205CE" w:rsidRDefault="000205CE" w:rsidP="007D3682">
            <w:pPr>
              <w:tabs>
                <w:tab w:val="left" w:pos="2340"/>
              </w:tabs>
              <w:ind w:firstLine="690"/>
              <w:contextualSpacing/>
              <w:jc w:val="both"/>
            </w:pPr>
            <w:r>
              <w:t>August 28</w:t>
            </w:r>
            <w:r w:rsidRPr="000205CE">
              <w:rPr>
                <w:vertAlign w:val="superscript"/>
              </w:rPr>
              <w:t>th</w:t>
            </w:r>
          </w:p>
        </w:tc>
        <w:tc>
          <w:tcPr>
            <w:tcW w:w="3560" w:type="dxa"/>
          </w:tcPr>
          <w:p w14:paraId="0D906411" w14:textId="77777777" w:rsidR="000205CE" w:rsidRDefault="000205CE" w:rsidP="007D3682">
            <w:pPr>
              <w:tabs>
                <w:tab w:val="left" w:pos="2340"/>
              </w:tabs>
              <w:ind w:firstLine="690"/>
              <w:contextualSpacing/>
              <w:jc w:val="both"/>
            </w:pPr>
            <w:r>
              <w:t>December 11</w:t>
            </w:r>
            <w:r w:rsidRPr="000205CE">
              <w:rPr>
                <w:vertAlign w:val="superscript"/>
              </w:rPr>
              <w:t>th</w:t>
            </w:r>
          </w:p>
        </w:tc>
      </w:tr>
    </w:tbl>
    <w:p w14:paraId="10C04DE2" w14:textId="77777777" w:rsidR="00EB2C08" w:rsidRDefault="00EB2C08" w:rsidP="000205CE">
      <w:pPr>
        <w:tabs>
          <w:tab w:val="left" w:pos="2340"/>
        </w:tabs>
        <w:spacing w:line="240" w:lineRule="auto"/>
        <w:contextualSpacing/>
        <w:jc w:val="both"/>
      </w:pPr>
    </w:p>
    <w:p w14:paraId="3C789D4F" w14:textId="77777777" w:rsidR="00C51933" w:rsidRDefault="00EB2C08" w:rsidP="00EB2C08">
      <w:pPr>
        <w:tabs>
          <w:tab w:val="left" w:pos="1440"/>
        </w:tabs>
        <w:spacing w:line="240" w:lineRule="auto"/>
        <w:ind w:left="1440" w:hanging="1440"/>
        <w:contextualSpacing/>
        <w:jc w:val="both"/>
      </w:pPr>
      <w:r w:rsidRPr="00EB2C08">
        <w:rPr>
          <w:b/>
          <w:u w:val="single"/>
        </w:rPr>
        <w:t>Location:</w:t>
      </w:r>
      <w:r>
        <w:t xml:space="preserve">                       Robeson Community College Emergency Service Training Grounds </w:t>
      </w:r>
    </w:p>
    <w:p w14:paraId="7A37C11A" w14:textId="77777777" w:rsidR="00EB2C08" w:rsidRDefault="00EB2C08" w:rsidP="00EB2C08">
      <w:pPr>
        <w:spacing w:line="240" w:lineRule="auto"/>
        <w:ind w:left="720" w:hanging="630"/>
        <w:contextualSpacing/>
        <w:jc w:val="both"/>
      </w:pPr>
      <w:r>
        <w:tab/>
        <w:t xml:space="preserve">                          5825 S. Roberts Ave, Lumberton NC 28358</w:t>
      </w:r>
    </w:p>
    <w:p w14:paraId="47F807BE" w14:textId="77777777" w:rsidR="00EB2C08" w:rsidRDefault="00EB2C08" w:rsidP="00EB2C08">
      <w:pPr>
        <w:spacing w:line="240" w:lineRule="auto"/>
        <w:contextualSpacing/>
        <w:jc w:val="both"/>
      </w:pPr>
      <w:r w:rsidRPr="00EB2C08">
        <w:rPr>
          <w:b/>
        </w:rPr>
        <w:t>Course Hours:</w:t>
      </w:r>
      <w:r>
        <w:t xml:space="preserve">               8:00AM – 7:00PM (10 Hours)</w:t>
      </w:r>
    </w:p>
    <w:p w14:paraId="114DE343" w14:textId="77777777" w:rsidR="00EB2C08" w:rsidRDefault="00EB2C08" w:rsidP="00EB2C08">
      <w:pPr>
        <w:spacing w:line="240" w:lineRule="auto"/>
        <w:contextualSpacing/>
        <w:jc w:val="both"/>
      </w:pPr>
      <w:r w:rsidRPr="00EB2C08">
        <w:rPr>
          <w:b/>
        </w:rPr>
        <w:t>Fee:</w:t>
      </w:r>
      <w:r>
        <w:t xml:space="preserve">                                 $70.00</w:t>
      </w:r>
    </w:p>
    <w:p w14:paraId="74142FA5" w14:textId="77777777" w:rsidR="00EB2C08" w:rsidRDefault="00EB2C08" w:rsidP="00EB2C08">
      <w:pPr>
        <w:spacing w:line="240" w:lineRule="auto"/>
        <w:ind w:left="2070" w:hanging="2070"/>
        <w:contextualSpacing/>
        <w:jc w:val="both"/>
      </w:pPr>
      <w:r w:rsidRPr="00EB2C08">
        <w:rPr>
          <w:b/>
        </w:rPr>
        <w:t>Equipment Required:</w:t>
      </w:r>
      <w:r>
        <w:t xml:space="preserve">  Handgun, a box of (50 rounds</w:t>
      </w:r>
      <w:r w:rsidR="006C3F59">
        <w:t>)</w:t>
      </w:r>
      <w:r>
        <w:t xml:space="preserve"> of ammunition. Eye/Ear protectors provided by the college. </w:t>
      </w:r>
    </w:p>
    <w:p w14:paraId="4574B085" w14:textId="77777777" w:rsidR="00EB2C08" w:rsidRDefault="00EB2C08" w:rsidP="00EB2C08">
      <w:pPr>
        <w:spacing w:line="240" w:lineRule="auto"/>
        <w:contextualSpacing/>
        <w:jc w:val="both"/>
      </w:pPr>
    </w:p>
    <w:p w14:paraId="28A4C798" w14:textId="77777777" w:rsidR="007D3682" w:rsidRDefault="00EB2C08" w:rsidP="00EB2C08">
      <w:pPr>
        <w:spacing w:line="240" w:lineRule="auto"/>
        <w:contextualSpacing/>
        <w:jc w:val="both"/>
      </w:pPr>
      <w:r w:rsidRPr="00EB2C08">
        <w:rPr>
          <w:b/>
        </w:rPr>
        <w:t>Course Registration:</w:t>
      </w:r>
      <w:r>
        <w:t xml:space="preserve">    Call (910) 272.3690 or email </w:t>
      </w:r>
      <w:hyperlink r:id="rId10" w:history="1">
        <w:r w:rsidRPr="00B166A7">
          <w:rPr>
            <w:rStyle w:val="Hyperlink"/>
          </w:rPr>
          <w:t>LET@Robeson.edu</w:t>
        </w:r>
      </w:hyperlink>
      <w:r>
        <w:t xml:space="preserve"> </w:t>
      </w:r>
    </w:p>
    <w:p w14:paraId="5489CD90" w14:textId="77777777" w:rsidR="00EB2C08" w:rsidRPr="007D3682" w:rsidRDefault="0073033B" w:rsidP="0073033B">
      <w:pPr>
        <w:tabs>
          <w:tab w:val="center" w:pos="2549"/>
        </w:tabs>
        <w:ind w:firstLine="1530"/>
      </w:pPr>
      <w:r w:rsidRPr="0073033B">
        <w:rPr>
          <w:b/>
          <w:noProof/>
          <w:sz w:val="44"/>
          <w:szCs w:val="44"/>
        </w:rPr>
        <mc:AlternateContent>
          <mc:Choice Requires="wps">
            <w:drawing>
              <wp:anchor distT="45720" distB="45720" distL="114300" distR="114300" simplePos="0" relativeHeight="251659264" behindDoc="0" locked="0" layoutInCell="1" allowOverlap="1" wp14:anchorId="43540D5E" wp14:editId="0A91A8C4">
                <wp:simplePos x="0" y="0"/>
                <wp:positionH relativeFrom="margin">
                  <wp:posOffset>-191069</wp:posOffset>
                </wp:positionH>
                <wp:positionV relativeFrom="paragraph">
                  <wp:posOffset>443723</wp:posOffset>
                </wp:positionV>
                <wp:extent cx="968375" cy="61404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614045"/>
                        </a:xfrm>
                        <a:prstGeom prst="rect">
                          <a:avLst/>
                        </a:prstGeom>
                        <a:solidFill>
                          <a:srgbClr val="FFFFFF"/>
                        </a:solidFill>
                        <a:ln w="9525">
                          <a:noFill/>
                          <a:miter lim="800000"/>
                          <a:headEnd/>
                          <a:tailEnd/>
                        </a:ln>
                      </wps:spPr>
                      <wps:txbx>
                        <w:txbxContent>
                          <w:p w14:paraId="3A2BB89E" w14:textId="77777777" w:rsidR="0073033B" w:rsidRDefault="0073033B" w:rsidP="0073033B">
                            <w:r>
                              <w:rPr>
                                <w:b/>
                                <w:noProof/>
                                <w:sz w:val="28"/>
                              </w:rPr>
                              <w:drawing>
                                <wp:inline distT="0" distB="0" distL="0" distR="0" wp14:anchorId="238B7789" wp14:editId="38758E5F">
                                  <wp:extent cx="777923" cy="455640"/>
                                  <wp:effectExtent l="0" t="0" r="317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33185" cy="4880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40D5E" id="_x0000_t202" coordsize="21600,21600" o:spt="202" path="m,l,21600r21600,l21600,xe">
                <v:stroke joinstyle="miter"/>
                <v:path gradientshapeok="t" o:connecttype="rect"/>
              </v:shapetype>
              <v:shape id="Text Box 2" o:spid="_x0000_s1026" type="#_x0000_t202" style="position:absolute;left:0;text-align:left;margin-left:-15.05pt;margin-top:34.95pt;width:76.25pt;height:48.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eRIAIAABw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" stroked="f">
                <v:textbox>
                  <w:txbxContent>
                    <w:p w14:paraId="3A2BB89E" w14:textId="77777777" w:rsidR="0073033B" w:rsidRDefault="0073033B" w:rsidP="0073033B">
                      <w:r>
                        <w:rPr>
                          <w:b/>
                          <w:noProof/>
                          <w:sz w:val="28"/>
                        </w:rPr>
                        <w:drawing>
                          <wp:inline distT="0" distB="0" distL="0" distR="0" wp14:anchorId="238B7789" wp14:editId="38758E5F">
                            <wp:extent cx="777923" cy="455640"/>
                            <wp:effectExtent l="0" t="0" r="317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33185" cy="488008"/>
                                    </a:xfrm>
                                    <a:prstGeom prst="rect">
                                      <a:avLst/>
                                    </a:prstGeom>
                                  </pic:spPr>
                                </pic:pic>
                              </a:graphicData>
                            </a:graphic>
                          </wp:inline>
                        </w:drawing>
                      </w:r>
                    </w:p>
                  </w:txbxContent>
                </v:textbox>
                <w10:wrap type="square" anchorx="margin"/>
              </v:shape>
            </w:pict>
          </mc:Fallback>
        </mc:AlternateContent>
      </w:r>
      <w:r w:rsidR="006C3F59">
        <w:rPr>
          <w:b/>
          <w:sz w:val="28"/>
        </w:rPr>
        <w:t xml:space="preserve">  </w:t>
      </w:r>
      <w:r>
        <w:rPr>
          <w:b/>
          <w:sz w:val="28"/>
        </w:rPr>
        <w:t xml:space="preserve">                                  </w:t>
      </w:r>
      <w:r w:rsidR="00500F02">
        <w:rPr>
          <w:b/>
          <w:sz w:val="28"/>
        </w:rPr>
        <w:t xml:space="preserve">                                      </w:t>
      </w:r>
      <w:r w:rsidR="006C3F59">
        <w:rPr>
          <w:b/>
          <w:sz w:val="28"/>
        </w:rPr>
        <w:t xml:space="preserve"> </w:t>
      </w:r>
      <w:r w:rsidR="007D3682" w:rsidRPr="007D3682">
        <w:rPr>
          <w:b/>
          <w:sz w:val="28"/>
        </w:rPr>
        <w:t>www.robeson.edu/specialized</w:t>
      </w:r>
      <w:r w:rsidR="00500F02">
        <w:rPr>
          <w:b/>
          <w:sz w:val="28"/>
        </w:rPr>
        <w:t>-</w:t>
      </w:r>
      <w:r w:rsidR="007D3682" w:rsidRPr="007D3682">
        <w:rPr>
          <w:b/>
          <w:sz w:val="28"/>
        </w:rPr>
        <w:t>training-classes/</w:t>
      </w:r>
      <w:r w:rsidR="007D3682">
        <w:tab/>
      </w:r>
      <w:r w:rsidR="007D3682">
        <w:rPr>
          <w:noProof/>
        </w:rPr>
        <w:drawing>
          <wp:inline distT="0" distB="0" distL="0" distR="0" wp14:anchorId="110423F9" wp14:editId="66E4C6D8">
            <wp:extent cx="1365504" cy="7642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65504" cy="764275"/>
                    </a:xfrm>
                    <a:prstGeom prst="rect">
                      <a:avLst/>
                    </a:prstGeom>
                    <a:ln>
                      <a:noFill/>
                    </a:ln>
                    <a:effectLst>
                      <a:softEdge rad="112500"/>
                    </a:effectLst>
                  </pic:spPr>
                </pic:pic>
              </a:graphicData>
            </a:graphic>
          </wp:inline>
        </w:drawing>
      </w:r>
    </w:p>
    <w:sectPr w:rsidR="00EB2C08" w:rsidRPr="007D3682" w:rsidSect="006C3F59">
      <w:headerReference w:type="default" r:id="rId14"/>
      <w:pgSz w:w="12240" w:h="15840"/>
      <w:pgMar w:top="1440" w:right="1440" w:bottom="1440" w:left="1440" w:header="720" w:footer="720"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9D226" w14:textId="77777777" w:rsidR="007D3682" w:rsidRDefault="007D3682" w:rsidP="007D3682">
      <w:pPr>
        <w:spacing w:after="0" w:line="240" w:lineRule="auto"/>
      </w:pPr>
      <w:r>
        <w:separator/>
      </w:r>
    </w:p>
  </w:endnote>
  <w:endnote w:type="continuationSeparator" w:id="0">
    <w:p w14:paraId="3167B697" w14:textId="77777777" w:rsidR="007D3682" w:rsidRDefault="007D3682" w:rsidP="007D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A8A25" w14:textId="77777777" w:rsidR="007D3682" w:rsidRDefault="007D3682" w:rsidP="007D3682">
      <w:pPr>
        <w:spacing w:after="0" w:line="240" w:lineRule="auto"/>
      </w:pPr>
      <w:r>
        <w:separator/>
      </w:r>
    </w:p>
  </w:footnote>
  <w:footnote w:type="continuationSeparator" w:id="0">
    <w:p w14:paraId="038CD87E" w14:textId="77777777" w:rsidR="007D3682" w:rsidRDefault="007D3682" w:rsidP="007D3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1BD7" w14:textId="77777777" w:rsidR="007D3682" w:rsidRDefault="007D3682">
    <w:pPr>
      <w:pStyle w:val="Header"/>
    </w:pPr>
    <w:r>
      <w:rPr>
        <w:noProof/>
      </w:rPr>
      <w:drawing>
        <wp:anchor distT="0" distB="0" distL="114300" distR="114300" simplePos="0" relativeHeight="251659264" behindDoc="0" locked="0" layoutInCell="1" allowOverlap="1" wp14:anchorId="06609D2A" wp14:editId="4379FEAB">
          <wp:simplePos x="0" y="0"/>
          <wp:positionH relativeFrom="margin">
            <wp:posOffset>1923964</wp:posOffset>
          </wp:positionH>
          <wp:positionV relativeFrom="paragraph">
            <wp:posOffset>-129872</wp:posOffset>
          </wp:positionV>
          <wp:extent cx="2033270" cy="492125"/>
          <wp:effectExtent l="0" t="0" r="508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3270" cy="4921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33"/>
    <w:rsid w:val="000205CE"/>
    <w:rsid w:val="0021253D"/>
    <w:rsid w:val="00271E49"/>
    <w:rsid w:val="00351E17"/>
    <w:rsid w:val="004442AB"/>
    <w:rsid w:val="004F2A34"/>
    <w:rsid w:val="00500F02"/>
    <w:rsid w:val="0060060B"/>
    <w:rsid w:val="006C3F59"/>
    <w:rsid w:val="0073033B"/>
    <w:rsid w:val="007D3682"/>
    <w:rsid w:val="0089513C"/>
    <w:rsid w:val="00967A60"/>
    <w:rsid w:val="00B57E06"/>
    <w:rsid w:val="00C51933"/>
    <w:rsid w:val="00E05C0A"/>
    <w:rsid w:val="00EB23D9"/>
    <w:rsid w:val="00EB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AED1823"/>
  <w15:chartTrackingRefBased/>
  <w15:docId w15:val="{E5495D9D-17FE-42AB-9164-2E8EF92C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C08"/>
    <w:rPr>
      <w:color w:val="0563C1" w:themeColor="hyperlink"/>
      <w:u w:val="single"/>
    </w:rPr>
  </w:style>
  <w:style w:type="character" w:styleId="UnresolvedMention">
    <w:name w:val="Unresolved Mention"/>
    <w:basedOn w:val="DefaultParagraphFont"/>
    <w:uiPriority w:val="99"/>
    <w:semiHidden/>
    <w:unhideWhenUsed/>
    <w:rsid w:val="00EB2C08"/>
    <w:rPr>
      <w:color w:val="605E5C"/>
      <w:shd w:val="clear" w:color="auto" w:fill="E1DFDD"/>
    </w:rPr>
  </w:style>
  <w:style w:type="table" w:styleId="TableGrid">
    <w:name w:val="Table Grid"/>
    <w:basedOn w:val="TableNormal"/>
    <w:uiPriority w:val="39"/>
    <w:rsid w:val="00020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D368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7D36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D3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682"/>
  </w:style>
  <w:style w:type="paragraph" w:styleId="Footer">
    <w:name w:val="footer"/>
    <w:basedOn w:val="Normal"/>
    <w:link w:val="FooterChar"/>
    <w:uiPriority w:val="99"/>
    <w:unhideWhenUsed/>
    <w:rsid w:val="007D3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ngimg.com/download/146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ET@Robeson.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C20AC056C351498C93BF89EF896A9B" ma:contentTypeVersion="10" ma:contentTypeDescription="Create a new document." ma:contentTypeScope="" ma:versionID="1f3ae05602a21bf1eaeb8a8cc397aee5">
  <xsd:schema xmlns:xsd="http://www.w3.org/2001/XMLSchema" xmlns:xs="http://www.w3.org/2001/XMLSchema" xmlns:p="http://schemas.microsoft.com/office/2006/metadata/properties" xmlns:ns3="3d2ceb94-f0e3-4f7a-8d5f-513902c36df8" targetNamespace="http://schemas.microsoft.com/office/2006/metadata/properties" ma:root="true" ma:fieldsID="0f3ecd0c838275100716bf2be46266b4" ns3:_="">
    <xsd:import namespace="3d2ceb94-f0e3-4f7a-8d5f-513902c36d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ceb94-f0e3-4f7a-8d5f-513902c36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3C5B0-8492-47CD-B46E-C4EDF5EA8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ceb94-f0e3-4f7a-8d5f-513902c36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EA521-9197-4008-ABB6-F7739DF1C7EB}">
  <ds:schemaRefs>
    <ds:schemaRef ds:uri="http://schemas.microsoft.com/sharepoint/v3/contenttype/forms"/>
  </ds:schemaRefs>
</ds:datastoreItem>
</file>

<file path=customXml/itemProps3.xml><?xml version="1.0" encoding="utf-8"?>
<ds:datastoreItem xmlns:ds="http://schemas.openxmlformats.org/officeDocument/2006/customXml" ds:itemID="{B94F64FC-9240-4A1C-8274-B77D4D526E8D}">
  <ds:schemaRefs>
    <ds:schemaRef ds:uri="http://purl.org/dc/elements/1.1/"/>
    <ds:schemaRef ds:uri="http://schemas.microsoft.com/office/2006/documentManagement/types"/>
    <ds:schemaRef ds:uri="http://schemas.microsoft.com/office/infopath/2007/PartnerControls"/>
    <ds:schemaRef ds:uri="http://purl.org/dc/terms/"/>
    <ds:schemaRef ds:uri="3d2ceb94-f0e3-4f7a-8d5f-513902c36df8"/>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Alora Lowery</dc:creator>
  <cp:keywords/>
  <dc:description/>
  <cp:lastModifiedBy>Walter Hinson</cp:lastModifiedBy>
  <cp:revision>2</cp:revision>
  <dcterms:created xsi:type="dcterms:W3CDTF">2020-12-16T21:19:00Z</dcterms:created>
  <dcterms:modified xsi:type="dcterms:W3CDTF">2020-12-16T21:19:00Z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0x0101004EC20AC056C351498C93BF89EF896A9B</vt:lpwstr>
  </property>
</Properties>
</file>